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高等学校接受青年骨干教师国内访问学者学科专业导师课题汇总表</w:t>
      </w:r>
    </w:p>
    <w:p/>
    <w:tbl>
      <w:tblPr>
        <w:tblStyle w:val="3"/>
        <w:tblpPr w:leftFromText="180" w:rightFromText="180" w:vertAnchor="text" w:tblpY="1"/>
        <w:tblOverlap w:val="never"/>
        <w:tblW w:w="121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276"/>
        <w:gridCol w:w="1417"/>
        <w:gridCol w:w="1134"/>
        <w:gridCol w:w="1701"/>
        <w:gridCol w:w="1134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规范的二级学科专业名称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二级学科专业代码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所在一级学科名称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一级学科代码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课题名称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ind w:left="430" w:leftChars="52" w:hanging="321" w:hangingChars="146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b/>
          <w:kern w:val="0"/>
          <w:sz w:val="22"/>
          <w:szCs w:val="22"/>
        </w:rPr>
        <w:t>注：</w:t>
      </w:r>
      <w:r>
        <w:rPr>
          <w:rFonts w:hint="eastAsia" w:ascii="宋体" w:hAnsi="宋体" w:cs="宋体"/>
          <w:kern w:val="0"/>
          <w:sz w:val="22"/>
          <w:szCs w:val="22"/>
        </w:rPr>
        <w:t>1. 学科专业名称及代码参照由国务院学位委员会和教育部于2011年4月和2018年4月两次更新颁布的《学位授予和人才培养学科目录》中确定的一级、二级学科。</w:t>
      </w:r>
    </w:p>
    <w:p>
      <w:pPr>
        <w:ind w:firstLine="550" w:firstLineChars="25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2. 学科专业顺序按学科专业代码从小号到大号编排。</w:t>
      </w:r>
    </w:p>
    <w:p>
      <w:pPr>
        <w:ind w:firstLine="550" w:firstLineChars="25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3. 课题名称如有多个，请用①②……标明，中间不需标点符号。</w:t>
      </w:r>
    </w:p>
    <w:p>
      <w:pPr>
        <w:ind w:firstLine="550" w:firstLineChars="25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4. 如空格不够，可另加页。</w:t>
      </w:r>
    </w:p>
    <w:p>
      <w:bookmarkStart w:id="0" w:name="_GoBack"/>
      <w:bookmarkEnd w:id="0"/>
    </w:p>
    <w:sectPr>
      <w:pgSz w:w="15485" w:h="11164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623E"/>
    <w:rsid w:val="786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2021-12-29T07:42:00Z</dcterms:created>
  <dc:creator>lenovo</dc:creator>
  <cp:lastModifiedBy>lenovo</cp:lastModifiedBy>
  <dcterms:modified xsi:type="dcterms:W3CDTF">2021-12-29T07:42:58Z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374B22FB9E2C45D9B3CE92EF4C99BA39</vt:lpwstr>
  </property>
</Properties>
</file>