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pacing w:val="-4"/>
          <w:sz w:val="32"/>
          <w:szCs w:val="32"/>
        </w:rPr>
      </w:pPr>
      <w:r>
        <w:rPr>
          <w:rFonts w:hint="eastAsia" w:ascii="黑体" w:hAnsi="黑体" w:eastAsia="黑体"/>
          <w:spacing w:val="-4"/>
          <w:sz w:val="32"/>
          <w:szCs w:val="32"/>
        </w:rPr>
        <w:t>附件2：</w:t>
      </w:r>
    </w:p>
    <w:p>
      <w:pPr>
        <w:spacing w:line="560" w:lineRule="exact"/>
        <w:jc w:val="center"/>
        <w:rPr>
          <w:rFonts w:ascii="方正小标宋简体" w:hAnsi="Times New Roman" w:eastAsia="方正小标宋简体"/>
          <w:spacing w:val="-4"/>
          <w:sz w:val="44"/>
          <w:szCs w:val="44"/>
        </w:rPr>
      </w:pPr>
      <w:r>
        <w:rPr>
          <w:rFonts w:hint="eastAsia" w:ascii="方正小标宋简体" w:hAnsi="Times New Roman" w:eastAsia="方正小标宋简体"/>
          <w:spacing w:val="-4"/>
          <w:sz w:val="44"/>
          <w:szCs w:val="44"/>
        </w:rPr>
        <w:t>宁波市市本级博士后工作资助政策</w:t>
      </w:r>
    </w:p>
    <w:tbl>
      <w:tblPr>
        <w:tblStyle w:val="2"/>
        <w:tblW w:w="9519" w:type="dxa"/>
        <w:jc w:val="center"/>
        <w:tblLayout w:type="autofit"/>
        <w:tblCellMar>
          <w:top w:w="0" w:type="dxa"/>
          <w:left w:w="108" w:type="dxa"/>
          <w:bottom w:w="0" w:type="dxa"/>
          <w:right w:w="108" w:type="dxa"/>
        </w:tblCellMar>
      </w:tblPr>
      <w:tblGrid>
        <w:gridCol w:w="876"/>
        <w:gridCol w:w="1272"/>
        <w:gridCol w:w="1843"/>
        <w:gridCol w:w="5528"/>
      </w:tblGrid>
      <w:tr>
        <w:tblPrEx>
          <w:tblCellMar>
            <w:top w:w="0" w:type="dxa"/>
            <w:left w:w="108" w:type="dxa"/>
            <w:bottom w:w="0" w:type="dxa"/>
            <w:right w:w="108" w:type="dxa"/>
          </w:tblCellMar>
        </w:tblPrEx>
        <w:trPr>
          <w:trHeight w:val="620"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序号</w:t>
            </w:r>
          </w:p>
        </w:tc>
        <w:tc>
          <w:tcPr>
            <w:tcW w:w="12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项目名称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资助对象</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具体内容</w:t>
            </w:r>
          </w:p>
        </w:tc>
      </w:tr>
      <w:tr>
        <w:tblPrEx>
          <w:tblCellMar>
            <w:top w:w="0" w:type="dxa"/>
            <w:left w:w="108" w:type="dxa"/>
            <w:bottom w:w="0" w:type="dxa"/>
            <w:right w:w="108" w:type="dxa"/>
          </w:tblCellMar>
        </w:tblPrEx>
        <w:trPr>
          <w:trHeight w:val="1786"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建站资助经费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新获批设站单位</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博士后科研流动站、工作站（国家级）：100万元，一次性拨付。浙江省企业博士后工作站（省级）：50万元，分次核拨，每招收1名博士后人员给予10万元，直至50万元核拨到位。市级：20万元。设站层级提升后，按相应标准予以补足。</w:t>
            </w:r>
            <w:r>
              <w:rPr>
                <w:rFonts w:hint="eastAsia" w:hAnsi="宋体" w:eastAsia="宋体"/>
                <w:color w:val="000000"/>
                <w:kern w:val="0"/>
                <w:sz w:val="22"/>
              </w:rPr>
              <w:t xml:space="preserve"> </w:t>
            </w:r>
          </w:p>
        </w:tc>
      </w:tr>
      <w:tr>
        <w:tblPrEx>
          <w:tblCellMar>
            <w:top w:w="0" w:type="dxa"/>
            <w:left w:w="108" w:type="dxa"/>
            <w:bottom w:w="0" w:type="dxa"/>
            <w:right w:w="108" w:type="dxa"/>
          </w:tblCellMar>
        </w:tblPrEx>
        <w:trPr>
          <w:trHeight w:val="1094"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2</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日常资助经费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设站单位</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我市博士后设站单位招收博士后人员进站并完成科研项目开题后，可申请一次性日常资助经费，标准为5万元/人。另加区县配套合计最高可达30万元。</w:t>
            </w:r>
          </w:p>
        </w:tc>
      </w:tr>
      <w:tr>
        <w:tblPrEx>
          <w:tblCellMar>
            <w:top w:w="0" w:type="dxa"/>
            <w:left w:w="108" w:type="dxa"/>
            <w:bottom w:w="0" w:type="dxa"/>
            <w:right w:w="108" w:type="dxa"/>
          </w:tblCellMar>
        </w:tblPrEx>
        <w:trPr>
          <w:trHeight w:val="1713"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生活补贴经费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进站博士后研究人员</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我市博士后设站单位新招收的博士后研究人员，进站后可申请一次性生活补贴经费。标准为：工作站全职博士后30万元/人，工作站在职博士后和流动站博士后15万元/人。生活补贴分2年拨付。另加区县配套合计最高可达60万元。</w:t>
            </w:r>
          </w:p>
        </w:tc>
      </w:tr>
      <w:tr>
        <w:tblPrEx>
          <w:tblCellMar>
            <w:top w:w="0" w:type="dxa"/>
            <w:left w:w="108" w:type="dxa"/>
            <w:bottom w:w="0" w:type="dxa"/>
            <w:right w:w="108" w:type="dxa"/>
          </w:tblCellMar>
        </w:tblPrEx>
        <w:trPr>
          <w:trHeight w:val="2404"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出站留甬工作补助经费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出站留甬工作博士后研究人员</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到我市各设站单位从事博士后研究的人员，出站1年内留甬初次就业并签订5年及以上工作合同的，可申请总额50万元的补助（每年10万元，分5年发放）。其中，出站后留企业工作的，按接收单位的税收隶属关系，由市或区县（市）级财政全额承担；出站后留事业单位工作的，按接收单位的行政隶属关系，由市或区县（市）级财政承担35万元，其余部分可由接收单位资助。</w:t>
            </w:r>
          </w:p>
        </w:tc>
      </w:tr>
      <w:tr>
        <w:tblPrEx>
          <w:tblCellMar>
            <w:top w:w="0" w:type="dxa"/>
            <w:left w:w="108" w:type="dxa"/>
            <w:bottom w:w="0" w:type="dxa"/>
            <w:right w:w="108" w:type="dxa"/>
          </w:tblCellMar>
        </w:tblPrEx>
        <w:trPr>
          <w:trHeight w:val="837"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择优资助配套经费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博士后科研项目</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对获得中国博士后科学基金资助或浙江省博士后科研项目择优资助的项目，按1：1比例给予配套资助。</w:t>
            </w:r>
          </w:p>
        </w:tc>
      </w:tr>
      <w:tr>
        <w:tblPrEx>
          <w:tblCellMar>
            <w:top w:w="0" w:type="dxa"/>
            <w:left w:w="108" w:type="dxa"/>
            <w:bottom w:w="0" w:type="dxa"/>
            <w:right w:w="108" w:type="dxa"/>
          </w:tblCellMar>
        </w:tblPrEx>
        <w:trPr>
          <w:trHeight w:val="1132"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推荐招收奖励经费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人才中介机构</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对主动为我市工作站推荐并成功招收博士后人员的人才中介机构，每推荐成功1名给予2万元的奖励，县（市）区予以相应配套奖励。</w:t>
            </w:r>
          </w:p>
        </w:tc>
      </w:tr>
      <w:tr>
        <w:tblPrEx>
          <w:tblCellMar>
            <w:top w:w="0" w:type="dxa"/>
            <w:left w:w="108" w:type="dxa"/>
            <w:bottom w:w="0" w:type="dxa"/>
            <w:right w:w="108" w:type="dxa"/>
          </w:tblCellMar>
        </w:tblPrEx>
        <w:trPr>
          <w:trHeight w:val="114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7</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优秀博士后奖励经费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博士后研究人员及博士后管理人员</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每3年开展一次优秀博士后的评选表彰活动，优秀博士后一次性奖励1万元，优秀博士后工作者一次性奖励5千元，优秀博士后工作站授予铜牌。</w:t>
            </w:r>
          </w:p>
        </w:tc>
      </w:tr>
    </w:tbl>
    <w:p>
      <w:r>
        <w:rPr>
          <w:rFonts w:hint="eastAsia" w:ascii="仿宋_GB2312" w:hAnsi="仿宋_GB2312" w:eastAsia="仿宋_GB2312"/>
          <w:b/>
          <w:spacing w:val="-4"/>
          <w:sz w:val="32"/>
          <w:szCs w:val="32"/>
        </w:rPr>
        <w:t>注：宁波市下属区县市另行配套政策补助支持（详见各需求表）。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40E2D"/>
    <w:rsid w:val="3614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2020-07-01T08:27:00Z</dcterms:created>
  <dc:creator>HMZ</dc:creator>
  <cp:lastModifiedBy>HMZ</cp:lastModifiedBy>
  <dcterms:modified xsi:type="dcterms:W3CDTF">2020-07-01T08:28:07Z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